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276" w:lineRule="auto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Ind w:w="12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10"/>
        <w:gridCol w:w="900"/>
        <w:gridCol w:w="2880"/>
        <w:gridCol w:w="2355"/>
        <w:gridCol w:w="1380"/>
        <w:tblGridChange w:id="0">
          <w:tblGrid>
            <w:gridCol w:w="2310"/>
            <w:gridCol w:w="900"/>
            <w:gridCol w:w="2880"/>
            <w:gridCol w:w="2355"/>
            <w:gridCol w:w="1380"/>
          </w:tblGrid>
        </w:tblGridChange>
      </w:tblGrid>
      <w:tr>
        <w:trPr>
          <w:cantSplit w:val="0"/>
          <w:trHeight w:val="214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02">
            <w:pPr>
              <w:tabs>
                <w:tab w:val="center" w:leader="none" w:pos="4156"/>
              </w:tabs>
              <w:spacing w:after="54" w:before="9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ab/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76200</wp:posOffset>
                  </wp:positionV>
                  <wp:extent cx="1503996" cy="1357265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996" cy="13572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tabs>
                <w:tab w:val="center" w:leader="none" w:pos="4156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  <w:b w:val="1"/>
                <w:color w:val="662d91"/>
                <w:sz w:val="30"/>
                <w:szCs w:val="3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662d91"/>
                <w:sz w:val="30"/>
                <w:szCs w:val="3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156"/>
              </w:tabs>
              <w:spacing w:after="54" w:before="9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662d91"/>
                <w:sz w:val="30"/>
                <w:szCs w:val="30"/>
                <w:rtl w:val="0"/>
              </w:rPr>
              <w:t xml:space="preserve">            Bayview School Stationery list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191246" w:val="clear"/>
            <w:vAlign w:val="top"/>
          </w:tcPr>
          <w:p w:rsidR="00000000" w:rsidDel="00000000" w:rsidP="00000000" w:rsidRDefault="00000000" w:rsidRPr="00000000" w14:paraId="00000009">
            <w:pPr>
              <w:widowControl w:val="1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ffffff"/>
                <w:sz w:val="30"/>
                <w:szCs w:val="30"/>
                <w:rtl w:val="0"/>
              </w:rPr>
              <w:t xml:space="preserve">Year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3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tabs>
                <w:tab w:val="center" w:leader="none" w:pos="2348"/>
              </w:tabs>
              <w:spacing w:after="0" w:before="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ITEM</w:t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tabs>
                <w:tab w:val="center" w:leader="none" w:pos="2348"/>
              </w:tabs>
              <w:spacing w:after="0" w:before="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tabs>
                <w:tab w:val="center" w:leader="none" w:pos="2348"/>
              </w:tabs>
              <w:spacing w:after="0" w:before="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LEARNING AREA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tabs>
                <w:tab w:val="center" w:leader="none" w:pos="970"/>
              </w:tabs>
              <w:spacing w:after="0" w:before="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AMOUNT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1F8 OR SBKA4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⅓ picture space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⅔ lined 12mm ruled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 am learning..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2</w:t>
            </w:r>
          </w:p>
        </w:tc>
      </w:tr>
      <w:tr>
        <w:trPr>
          <w:cantSplit w:val="0"/>
          <w:trHeight w:val="466.3200000000000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Clever Kiwi Activity Book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Blank scrapbook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Connected learning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86.8125000000000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1A8  OR UA4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Unruled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Mathematics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1A8  OR UA4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Unruled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Literacy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LWB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14mm with 7mm feints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Handwriting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Bic felt pens – pack of 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Coloured Pencils – pack of 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40gm glue stick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2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Highlighter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Whiteboard markers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2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My Word Mate book 2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818.6400000000001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tabs>
                <w:tab w:val="left" w:leader="none" w:pos="-720"/>
              </w:tabs>
              <w:spacing w:after="0" w:before="0" w:lineRule="auto"/>
              <w:ind w:hanging="2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‘Maths No problem’ workbook (must be purchased from school and can be purchased online through kindo)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tabs>
                <w:tab w:val="center" w:leader="none" w:pos="970"/>
              </w:tabs>
              <w:spacing w:after="54" w:before="90" w:lineRule="auto"/>
              <w:ind w:hanging="2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 @ $21.50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The following items are also required, but your child may already have them. If not they can be purchased as an extra product.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Book bag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Pencil case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tabs>
                <w:tab w:val="left" w:leader="none" w:pos="-720"/>
              </w:tabs>
              <w:spacing w:after="0" w:before="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Small whiteboard approx. 30cm x 20cm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tabs>
                <w:tab w:val="center" w:leader="none" w:pos="970"/>
              </w:tabs>
              <w:spacing w:after="0" w:before="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tabs>
                <w:tab w:val="left" w:leader="none" w:pos="-720"/>
              </w:tabs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30cm plastic ruler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tabs>
                <w:tab w:val="center" w:leader="none" w:pos="970"/>
              </w:tabs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69">
      <w:pPr>
        <w:tabs>
          <w:tab w:val="left" w:leader="none" w:pos="-720"/>
        </w:tabs>
        <w:rPr>
          <w:rFonts w:ascii="Arial Narrow" w:cs="Arial Narrow" w:eastAsia="Arial Narrow" w:hAnsi="Arial Narrow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4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40"/>
        <w:tblGridChange w:id="0">
          <w:tblGrid>
            <w:gridCol w:w="9840"/>
          </w:tblGrid>
        </w:tblGridChange>
      </w:tblGrid>
      <w:tr>
        <w:trPr>
          <w:cantSplit w:val="0"/>
          <w:trHeight w:val="1444.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tabs>
                <w:tab w:val="left" w:leader="none" w:pos="-720"/>
              </w:tabs>
              <w:rPr>
                <w:rFonts w:ascii="Proxima Nova" w:cs="Proxima Nova" w:eastAsia="Proxima Nova" w:hAnsi="Proxima Nova"/>
                <w:sz w:val="22"/>
                <w:szCs w:val="2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2"/>
                <w:szCs w:val="22"/>
                <w:rtl w:val="0"/>
              </w:rPr>
              <w:t xml:space="preserve">You can purchase stationery through Office Max (</w:t>
            </w:r>
            <w:hyperlink r:id="rId8">
              <w:r w:rsidDel="00000000" w:rsidR="00000000" w:rsidRPr="00000000">
                <w:rPr>
                  <w:rFonts w:ascii="Proxima Nova" w:cs="Proxima Nova" w:eastAsia="Proxima Nova" w:hAnsi="Proxima Nova"/>
                  <w:color w:val="1155cc"/>
                  <w:sz w:val="22"/>
                  <w:szCs w:val="22"/>
                  <w:u w:val="single"/>
                  <w:rtl w:val="0"/>
                </w:rPr>
                <w:t xml:space="preserve">www.myschool.co.nz)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sz w:val="22"/>
                <w:szCs w:val="22"/>
                <w:rtl w:val="0"/>
              </w:rPr>
              <w:t xml:space="preserve"> , The Warehouse  (</w:t>
            </w:r>
            <w:hyperlink r:id="rId9">
              <w:r w:rsidDel="00000000" w:rsidR="00000000" w:rsidRPr="00000000">
                <w:rPr>
                  <w:rFonts w:ascii="Proxima Nova" w:cs="Proxima Nova" w:eastAsia="Proxima Nova" w:hAnsi="Proxima Nova"/>
                  <w:color w:val="0563c1"/>
                  <w:sz w:val="22"/>
                  <w:szCs w:val="22"/>
                  <w:u w:val="single"/>
                  <w:rtl w:val="0"/>
                </w:rPr>
                <w:t xml:space="preserve">www.thewarehouse.co.nz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sz w:val="22"/>
                <w:szCs w:val="22"/>
                <w:rtl w:val="0"/>
              </w:rPr>
              <w:t xml:space="preserve">), The Stationery Warehouse, School depot (</w:t>
            </w:r>
            <w:hyperlink r:id="rId10">
              <w:r w:rsidDel="00000000" w:rsidR="00000000" w:rsidRPr="00000000">
                <w:rPr>
                  <w:rFonts w:ascii="Proxima Nova" w:cs="Proxima Nova" w:eastAsia="Proxima Nova" w:hAnsi="Proxima Nova"/>
                  <w:color w:val="1155cc"/>
                  <w:sz w:val="22"/>
                  <w:szCs w:val="22"/>
                  <w:u w:val="single"/>
                  <w:rtl w:val="0"/>
                </w:rPr>
                <w:t xml:space="preserve">www.schooldepot.co.nz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sz w:val="22"/>
                <w:szCs w:val="22"/>
                <w:rtl w:val="0"/>
              </w:rPr>
              <w:t xml:space="preserve">) or any other stationery store. 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-720"/>
              </w:tabs>
              <w:rPr>
                <w:rFonts w:ascii="Proxima Nova" w:cs="Proxima Nova" w:eastAsia="Proxima Nova" w:hAnsi="Proxima Nova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2"/>
                <w:szCs w:val="22"/>
                <w:rtl w:val="0"/>
              </w:rPr>
              <w:t xml:space="preserve">The school office will be open from Monday 22nd - 26th January 2023 &amp; Tuesday 30th - 31st January 2024 from 9.00 am to 3.00 p.m. for enrolments and enquiries.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tabs>
          <w:tab w:val="left" w:leader="none" w:pos="-72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-720"/>
        </w:tabs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Dutch Roman 12pt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Dutch Roman 12pt" w:cs="Dutch Roman 12pt" w:eastAsia="Dutch Roman 12pt" w:hAnsi="Dutch Roman 12pt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dnoteText">
    <w:name w:val="Endnote Text"/>
    <w:basedOn w:val="Normal"/>
    <w:next w:val="EndnoteText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character" w:styleId="EndnoteReference">
    <w:name w:val="Endnote Reference"/>
    <w:next w:val="End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OC1">
    <w:name w:val="TOC 1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overflowPunct w:val="0"/>
      <w:autoSpaceDE w:val="0"/>
      <w:autoSpaceDN w:val="0"/>
      <w:adjustRightInd w:val="0"/>
      <w:spacing w:before="480" w:line="1" w:lineRule="atLeast"/>
      <w:ind w:left="720" w:right="720" w:leftChars="-1" w:rightChars="0" w:hanging="72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TOC2">
    <w:name w:val="TOC 2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overflowPunct w:val="0"/>
      <w:autoSpaceDE w:val="0"/>
      <w:autoSpaceDN w:val="0"/>
      <w:adjustRightInd w:val="0"/>
      <w:spacing w:line="1" w:lineRule="atLeast"/>
      <w:ind w:left="1440" w:right="720" w:leftChars="-1" w:rightChars="0" w:hanging="72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TOC3">
    <w:name w:val="TOC 3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overflowPunct w:val="0"/>
      <w:autoSpaceDE w:val="0"/>
      <w:autoSpaceDN w:val="0"/>
      <w:adjustRightInd w:val="0"/>
      <w:spacing w:line="1" w:lineRule="atLeast"/>
      <w:ind w:left="2160" w:right="720" w:leftChars="-1" w:rightChars="0" w:hanging="72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TOC4">
    <w:name w:val="TOC 4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overflowPunct w:val="0"/>
      <w:autoSpaceDE w:val="0"/>
      <w:autoSpaceDN w:val="0"/>
      <w:adjustRightInd w:val="0"/>
      <w:spacing w:line="1" w:lineRule="atLeast"/>
      <w:ind w:left="2880" w:right="720" w:leftChars="-1" w:rightChars="0" w:hanging="72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TOC5">
    <w:name w:val="TOC 5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overflowPunct w:val="0"/>
      <w:autoSpaceDE w:val="0"/>
      <w:autoSpaceDN w:val="0"/>
      <w:adjustRightInd w:val="0"/>
      <w:spacing w:line="1" w:lineRule="atLeast"/>
      <w:ind w:left="3600" w:right="720" w:leftChars="-1" w:rightChars="0" w:hanging="72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TOC6">
    <w:name w:val="TOC 6"/>
    <w:basedOn w:val="Normal"/>
    <w:next w:val="Normal"/>
    <w:autoRedefine w:val="0"/>
    <w:hidden w:val="0"/>
    <w:qFormat w:val="0"/>
    <w:pPr>
      <w:widowControl w:val="0"/>
      <w:tabs>
        <w:tab w:val="right" w:leader="none" w:pos="9360"/>
      </w:tabs>
      <w:suppressAutoHyphens w:val="0"/>
      <w:overflowPunct w:val="0"/>
      <w:autoSpaceDE w:val="0"/>
      <w:autoSpaceDN w:val="0"/>
      <w:adjustRightInd w:val="0"/>
      <w:spacing w:line="1" w:lineRule="atLeast"/>
      <w:ind w:left="720" w:leftChars="-1" w:rightChars="0" w:hanging="72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TOC7">
    <w:name w:val="TOC 7"/>
    <w:basedOn w:val="Normal"/>
    <w:next w:val="Normal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="720" w:leftChars="-1" w:rightChars="0" w:hanging="72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TOC8">
    <w:name w:val="TOC 8"/>
    <w:basedOn w:val="Normal"/>
    <w:next w:val="Normal"/>
    <w:autoRedefine w:val="0"/>
    <w:hidden w:val="0"/>
    <w:qFormat w:val="0"/>
    <w:pPr>
      <w:widowControl w:val="0"/>
      <w:tabs>
        <w:tab w:val="right" w:leader="none" w:pos="9360"/>
      </w:tabs>
      <w:suppressAutoHyphens w:val="0"/>
      <w:overflowPunct w:val="0"/>
      <w:autoSpaceDE w:val="0"/>
      <w:autoSpaceDN w:val="0"/>
      <w:adjustRightInd w:val="0"/>
      <w:spacing w:line="1" w:lineRule="atLeast"/>
      <w:ind w:left="720" w:leftChars="-1" w:rightChars="0" w:hanging="72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TOC9">
    <w:name w:val="TOC 9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overflowPunct w:val="0"/>
      <w:autoSpaceDE w:val="0"/>
      <w:autoSpaceDN w:val="0"/>
      <w:adjustRightInd w:val="0"/>
      <w:spacing w:line="1" w:lineRule="atLeast"/>
      <w:ind w:left="720" w:leftChars="-1" w:rightChars="0" w:hanging="72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Index1">
    <w:name w:val="Index 1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overflowPunct w:val="0"/>
      <w:autoSpaceDE w:val="0"/>
      <w:autoSpaceDN w:val="0"/>
      <w:adjustRightInd w:val="0"/>
      <w:spacing w:line="1" w:lineRule="atLeast"/>
      <w:ind w:left="1440" w:right="720" w:leftChars="-1" w:rightChars="0" w:hanging="144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Index2">
    <w:name w:val="Index 2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overflowPunct w:val="0"/>
      <w:autoSpaceDE w:val="0"/>
      <w:autoSpaceDN w:val="0"/>
      <w:adjustRightInd w:val="0"/>
      <w:spacing w:line="1" w:lineRule="atLeast"/>
      <w:ind w:left="1440" w:right="720" w:leftChars="-1" w:rightChars="0" w:hanging="72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TOAHeading">
    <w:name w:val="TOA Heading"/>
    <w:basedOn w:val="Normal"/>
    <w:next w:val="Normal"/>
    <w:autoRedefine w:val="0"/>
    <w:hidden w:val="0"/>
    <w:qFormat w:val="0"/>
    <w:pPr>
      <w:widowControl w:val="0"/>
      <w:tabs>
        <w:tab w:val="right" w:leader="none" w:pos="9360"/>
      </w:tabs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Caption">
    <w:name w:val="Caption"/>
    <w:basedOn w:val="Normal"/>
    <w:next w:val="Normal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Dutch Roman 12pt" w:hAnsi="Dutch Roman 12pt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character" w:styleId="_EquationCaption">
    <w:name w:val="_Equation Caption"/>
    <w:next w:val="_EquationCaptio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GB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schooldepot.co.nz" TargetMode="External"/><Relationship Id="rId9" Type="http://schemas.openxmlformats.org/officeDocument/2006/relationships/hyperlink" Target="http://www.thewarehouse.co.n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ajzDniJNn5GP3ZWgRHc+4HdlzA==">CgMxLjA4AHIhMXJwRW1PdUZ2ZWxuc0pSR0hjQTZBQ240U1VNcXhsa1Vm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2020-09-02T00:38:00Z</dcterms:created>
  <dc:creator>LESLEY ROBERTS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