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0"/>
        <w:gridCol w:w="900"/>
        <w:gridCol w:w="2985"/>
        <w:gridCol w:w="2340"/>
        <w:gridCol w:w="1290"/>
        <w:tblGridChange w:id="0">
          <w:tblGrid>
            <w:gridCol w:w="2310"/>
            <w:gridCol w:w="900"/>
            <w:gridCol w:w="2985"/>
            <w:gridCol w:w="2340"/>
            <w:gridCol w:w="129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76200</wp:posOffset>
                  </wp:positionV>
                  <wp:extent cx="1503996" cy="1357265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96" cy="1357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156"/>
              </w:tabs>
              <w:spacing w:after="54" w:before="90" w:lineRule="auto"/>
              <w:ind w:firstLine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662d91"/>
                <w:sz w:val="30"/>
                <w:szCs w:val="30"/>
                <w:rtl w:val="0"/>
              </w:rPr>
              <w:t xml:space="preserve">            Bayview School Stationery list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191246" w:val="clear"/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ind w:firstLine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30"/>
                <w:szCs w:val="30"/>
                <w:rtl w:val="0"/>
              </w:rPr>
              <w:t xml:space="preserve">New Entrant (starting from T3 onwards)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.7812500000000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0E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ITEM</w:t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center" w:leader="none" w:pos="2348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LEARNING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2">
            <w:pPr>
              <w:tabs>
                <w:tab w:val="center" w:leader="none" w:pos="970"/>
              </w:tabs>
              <w:spacing w:after="54" w:before="9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AMOUNT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1U5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⅓ picture space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⅔ lined 12mm 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learning..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Clever Kiwi Activity 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Blank scrapbook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Connected learning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1A8  OR UA4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Unruled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Literacy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LWB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14mm with 7mm feints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Handwriting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780.959999999999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-72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Clear File A4 (any colour)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center" w:leader="none" w:pos="970"/>
              </w:tabs>
              <w:spacing w:after="54" w:before="90" w:lineRule="auto"/>
              <w:ind w:hanging="2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Non-refillable display book (20 pockets)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Assessment folder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Small whiteboard approx. 30cm x 20cm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3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Bic felt pens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Coloured Pencils – pack of 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40gm glue stick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3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30cm plastic ruler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Whiteboard markers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The following items are also required, but your child may already have them. If not they can be purchased as an extra product.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Book bag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My Special Dictionary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spacing w:after="54" w:before="9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Pencil case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center" w:leader="none" w:pos="970"/>
              </w:tabs>
              <w:spacing w:after="54" w:before="9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-720"/>
        </w:tabs>
        <w:ind w:firstLine="0"/>
        <w:rPr>
          <w:rFonts w:ascii="Arial Narrow" w:cs="Arial Narrow" w:eastAsia="Arial Narrow" w:hAnsi="Arial Narrow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ind w:firstLine="0"/>
              <w:rPr>
                <w:rFonts w:ascii="Proxima Nova" w:cs="Proxima Nova" w:eastAsia="Proxima Nova" w:hAnsi="Proxima Nova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You can purchase stationery through Office Max (</w:t>
            </w:r>
            <w:hyperlink r:id="rId8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www.myschool.co.nz)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, The Warehouse  (</w:t>
            </w:r>
            <w:hyperlink r:id="rId9">
              <w:r w:rsidDel="00000000" w:rsidR="00000000" w:rsidRPr="00000000">
                <w:rPr>
                  <w:rFonts w:ascii="Proxima Nova" w:cs="Proxima Nova" w:eastAsia="Proxima Nova" w:hAnsi="Proxima Nova"/>
                  <w:color w:val="0563c1"/>
                  <w:u w:val="single"/>
                  <w:rtl w:val="0"/>
                </w:rPr>
                <w:t xml:space="preserve">www.thewarehouse.co.nz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), The Stationery Warehouse, School depot (</w:t>
            </w:r>
            <w:hyperlink r:id="rId10">
              <w:r w:rsidDel="00000000" w:rsidR="00000000" w:rsidRPr="00000000">
                <w:rPr>
                  <w:rFonts w:ascii="Proxima Nova" w:cs="Proxima Nova" w:eastAsia="Proxima Nova" w:hAnsi="Proxima Nova"/>
                  <w:color w:val="1155cc"/>
                  <w:u w:val="single"/>
                  <w:rtl w:val="0"/>
                </w:rPr>
                <w:t xml:space="preserve">www.schooldepot.co.nz</w:t>
              </w:r>
            </w:hyperlink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) or any other stationery store.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-720"/>
        </w:tabs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-720"/>
        </w:tabs>
        <w:ind w:left="0"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utch Roman 12pt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utch Roman 12pt" w:cs="Dutch Roman 12pt" w:eastAsia="Dutch Roman 12pt" w:hAnsi="Dutch Roman 12pt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lang w:eastAsia="en-GB"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dnoteText">
    <w:name w:val="endnote text"/>
    <w:basedOn w:val="Normal"/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</w:style>
  <w:style w:type="character" w:styleId="EquationCaption" w:customStyle="1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20.0" w:type="dxa"/>
        <w:right w:w="120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676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chooldepot.co.nz" TargetMode="External"/><Relationship Id="rId9" Type="http://schemas.openxmlformats.org/officeDocument/2006/relationships/hyperlink" Target="http://www.thewarehouse.co.n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pvh38U/R69CL6+YSPrAm0SraTA==">CgMxLjA4AHIhMWpmWXhwSi1lYWt6bXpzOXlNZzIzMEVPMExoZGIxbzhK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2020-09-02T00:02:00Z</dcterms:created>
  <dc:creator>LESLEY ROBERTS</dc:creator>
</cp:coreProperties>
</file>